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274" w:rsidRDefault="00591274" w:rsidP="00591274">
      <w:pPr>
        <w:pStyle w:val="NoSpacing"/>
        <w:jc w:val="center"/>
        <w:rPr>
          <w:rStyle w:val="Heading1Char"/>
          <w:bCs w:val="0"/>
          <w:color w:val="1F497D"/>
          <w:u w:val="single"/>
        </w:rPr>
      </w:pPr>
      <w:bookmarkStart w:id="0" w:name="p1"/>
      <w:bookmarkStart w:id="1" w:name="_GoBack"/>
      <w:bookmarkEnd w:id="1"/>
      <w:r w:rsidRPr="00B30B1F">
        <w:rPr>
          <w:rStyle w:val="Heading1Char"/>
          <w:bCs w:val="0"/>
          <w:color w:val="1F497D"/>
          <w:u w:val="single"/>
        </w:rPr>
        <w:t>Technical information sheet for the proposed SDG indicator</w:t>
      </w:r>
    </w:p>
    <w:p w:rsidR="009B0CA4" w:rsidRPr="00B30B1F" w:rsidRDefault="009B0CA4" w:rsidP="00591274">
      <w:pPr>
        <w:pStyle w:val="NoSpacing"/>
        <w:jc w:val="center"/>
        <w:rPr>
          <w:rStyle w:val="Heading1Char"/>
          <w:bCs w:val="0"/>
          <w:color w:val="1F497D"/>
          <w:u w:val="single"/>
        </w:rPr>
      </w:pPr>
      <w:r>
        <w:rPr>
          <w:rStyle w:val="Heading1Char"/>
          <w:bCs w:val="0"/>
          <w:color w:val="1F497D"/>
          <w:u w:val="single"/>
        </w:rPr>
        <w:t>For Target 8.10</w:t>
      </w:r>
    </w:p>
    <w:p w:rsidR="00591274" w:rsidRPr="00B30B1F" w:rsidRDefault="00591274" w:rsidP="00591274">
      <w:pPr>
        <w:pStyle w:val="NoSpacing"/>
        <w:jc w:val="center"/>
        <w:rPr>
          <w:rStyle w:val="Heading1Char"/>
          <w:bCs w:val="0"/>
          <w:color w:val="1F497D"/>
        </w:rPr>
      </w:pPr>
    </w:p>
    <w:p w:rsidR="00591274" w:rsidRPr="0019143F" w:rsidRDefault="00591274" w:rsidP="0019143F">
      <w:pPr>
        <w:pStyle w:val="NoSpacing"/>
        <w:jc w:val="both"/>
        <w:rPr>
          <w:rStyle w:val="Heading1Char"/>
          <w:sz w:val="24"/>
          <w:u w:val="single"/>
        </w:rPr>
      </w:pPr>
      <w:r w:rsidRPr="0019143F">
        <w:rPr>
          <w:rStyle w:val="Heading1Char"/>
          <w:sz w:val="24"/>
          <w:u w:val="single"/>
        </w:rPr>
        <w:t xml:space="preserve">Indicator: </w:t>
      </w:r>
    </w:p>
    <w:p w:rsidR="00591274" w:rsidRDefault="00540C14" w:rsidP="00591274">
      <w:pPr>
        <w:pStyle w:val="NoSpacing"/>
        <w:jc w:val="both"/>
      </w:pPr>
      <w:r w:rsidRPr="00540C14">
        <w:t>Number of com</w:t>
      </w:r>
      <w:r>
        <w:t xml:space="preserve">mercial bank branches and ATMs </w:t>
      </w:r>
      <w:r w:rsidRPr="00540C14">
        <w:t>per 100,000 adults</w:t>
      </w:r>
    </w:p>
    <w:p w:rsidR="00540C14" w:rsidRPr="00B30B1F" w:rsidRDefault="00540C14" w:rsidP="00591274">
      <w:pPr>
        <w:pStyle w:val="NoSpacing"/>
        <w:jc w:val="both"/>
        <w:rPr>
          <w:rFonts w:eastAsia="Times New Roman"/>
          <w:b/>
          <w:bCs/>
          <w:lang w:eastAsia="en-GB"/>
        </w:rPr>
      </w:pPr>
    </w:p>
    <w:p w:rsidR="00591274" w:rsidRPr="00F83107" w:rsidRDefault="00591274" w:rsidP="00591274">
      <w:pPr>
        <w:pStyle w:val="NoSpacing"/>
        <w:jc w:val="both"/>
        <w:rPr>
          <w:rFonts w:ascii="Cambria" w:eastAsia="SimSun" w:hAnsi="Cambria"/>
          <w:b/>
          <w:bCs/>
          <w:color w:val="365F91"/>
          <w:sz w:val="24"/>
          <w:szCs w:val="28"/>
          <w:u w:val="single"/>
          <w:lang w:eastAsia="ja-JP"/>
        </w:rPr>
      </w:pPr>
      <w:r w:rsidRPr="0019143F">
        <w:rPr>
          <w:rStyle w:val="Heading1Char"/>
          <w:sz w:val="24"/>
          <w:u w:val="single"/>
        </w:rPr>
        <w:t xml:space="preserve">Goal and Target Addressed </w:t>
      </w:r>
      <w:bookmarkEnd w:id="0"/>
    </w:p>
    <w:p w:rsidR="009F06D5" w:rsidRPr="003B516C" w:rsidRDefault="00540C14" w:rsidP="00591274">
      <w:pPr>
        <w:pStyle w:val="NoSpacing"/>
        <w:jc w:val="both"/>
        <w:rPr>
          <w:rFonts w:eastAsia="Times New Roman"/>
          <w:b/>
          <w:bCs/>
          <w:lang w:val="en-US" w:eastAsia="en-GB"/>
        </w:rPr>
      </w:pPr>
      <w:r w:rsidRPr="003B516C">
        <w:rPr>
          <w:rFonts w:eastAsia="Times New Roman"/>
          <w:b/>
          <w:bCs/>
          <w:lang w:val="en-US" w:eastAsia="en-GB"/>
        </w:rPr>
        <w:t>Goal 8: Promote sustained, inclusive and sustainable economic growth, full and productive employment and decent work for all</w:t>
      </w:r>
    </w:p>
    <w:p w:rsidR="00591274" w:rsidRPr="00B30B1F" w:rsidRDefault="00591274" w:rsidP="00591274">
      <w:pPr>
        <w:pStyle w:val="NoSpacing"/>
        <w:jc w:val="both"/>
        <w:rPr>
          <w:i/>
          <w:iCs/>
        </w:rPr>
      </w:pPr>
      <w:r w:rsidRPr="00FC1256">
        <w:rPr>
          <w:b/>
        </w:rPr>
        <w:t xml:space="preserve">Target </w:t>
      </w:r>
      <w:r w:rsidR="00540C14" w:rsidRPr="00FC1256">
        <w:rPr>
          <w:b/>
        </w:rPr>
        <w:t>8.10</w:t>
      </w:r>
      <w:r w:rsidR="00540C14">
        <w:t xml:space="preserve">: </w:t>
      </w:r>
      <w:r w:rsidR="00540C14" w:rsidRPr="00540C14">
        <w:t>Strengthen the capacity of domestic financial institutions to encourage and expand access to banking, insurance and financial services for all</w:t>
      </w:r>
    </w:p>
    <w:p w:rsidR="00591274" w:rsidRPr="00B30B1F" w:rsidRDefault="00591274" w:rsidP="00591274">
      <w:pPr>
        <w:pStyle w:val="NoSpacing"/>
        <w:jc w:val="both"/>
        <w:rPr>
          <w:rStyle w:val="Heading1Char"/>
        </w:rPr>
      </w:pPr>
      <w:bookmarkStart w:id="2" w:name="p2"/>
    </w:p>
    <w:p w:rsidR="00591274" w:rsidRPr="0019143F" w:rsidRDefault="00591274" w:rsidP="00591274">
      <w:pPr>
        <w:pStyle w:val="NoSpacing"/>
        <w:jc w:val="both"/>
        <w:rPr>
          <w:rStyle w:val="Heading1Char"/>
          <w:sz w:val="24"/>
          <w:u w:val="single"/>
          <w:lang w:eastAsia="en-GB"/>
        </w:rPr>
      </w:pPr>
      <w:r w:rsidRPr="0019143F">
        <w:rPr>
          <w:rStyle w:val="Heading1Char"/>
          <w:sz w:val="24"/>
          <w:u w:val="single"/>
        </w:rPr>
        <w:t xml:space="preserve">Definition and Method of Computation </w:t>
      </w:r>
      <w:bookmarkEnd w:id="2"/>
    </w:p>
    <w:p w:rsidR="00591274" w:rsidRPr="003B4906" w:rsidRDefault="009F448F" w:rsidP="00C51A7E">
      <w:pPr>
        <w:pStyle w:val="NoSpacing"/>
        <w:jc w:val="both"/>
      </w:pPr>
      <w:r w:rsidRPr="00B30B1F">
        <w:rPr>
          <w:rFonts w:eastAsia="Times New Roman"/>
          <w:lang w:eastAsia="en-GB"/>
        </w:rPr>
        <w:br/>
      </w:r>
      <w:r w:rsidR="00C51A7E" w:rsidRPr="00C51A7E">
        <w:rPr>
          <w:b/>
        </w:rPr>
        <w:t>Number of ATMs per 100,000 adults</w:t>
      </w:r>
    </w:p>
    <w:p w:rsidR="00C51A7E" w:rsidRDefault="00C51A7E" w:rsidP="00C51A7E">
      <w:pPr>
        <w:pStyle w:val="NoSpacing"/>
        <w:jc w:val="both"/>
      </w:pPr>
      <w:r w:rsidRPr="00C51A7E">
        <w:t>Calculated as: (number of ATMs)*100,000/adult population in the reporting country.</w:t>
      </w:r>
    </w:p>
    <w:p w:rsidR="00C51A7E" w:rsidRDefault="00C51A7E" w:rsidP="00C51A7E">
      <w:pPr>
        <w:pStyle w:val="NoSpacing"/>
        <w:jc w:val="both"/>
      </w:pPr>
    </w:p>
    <w:p w:rsidR="00C51A7E" w:rsidRDefault="00C51A7E" w:rsidP="00C51A7E">
      <w:pPr>
        <w:pStyle w:val="NoSpacing"/>
        <w:jc w:val="both"/>
        <w:rPr>
          <w:b/>
        </w:rPr>
      </w:pPr>
      <w:r w:rsidRPr="00C51A7E">
        <w:rPr>
          <w:b/>
        </w:rPr>
        <w:t>Number of branches per 100,000 adults</w:t>
      </w:r>
    </w:p>
    <w:p w:rsidR="00592E1C" w:rsidRPr="00592E1C" w:rsidRDefault="00592E1C" w:rsidP="00592E1C">
      <w:pPr>
        <w:pStyle w:val="NoSpacing"/>
        <w:jc w:val="both"/>
      </w:pPr>
      <w:r w:rsidRPr="00592E1C">
        <w:t>Calculated as follows: (number of institutions + number of branches)*</w:t>
      </w:r>
      <w:r>
        <w:t xml:space="preserve">100,000/adult population in the </w:t>
      </w:r>
      <w:r w:rsidRPr="00592E1C">
        <w:t>reporting country --- calculated separately for commercial banks, credit uni</w:t>
      </w:r>
      <w:r>
        <w:t xml:space="preserve">ons and financial cooperatives, </w:t>
      </w:r>
      <w:r w:rsidRPr="00592E1C">
        <w:t>and all MFIs.</w:t>
      </w:r>
    </w:p>
    <w:p w:rsidR="00C51A7E" w:rsidRPr="00C51A7E" w:rsidRDefault="00C51A7E" w:rsidP="00C51A7E">
      <w:pPr>
        <w:pStyle w:val="NoSpacing"/>
        <w:jc w:val="both"/>
        <w:rPr>
          <w:b/>
        </w:rPr>
      </w:pPr>
    </w:p>
    <w:p w:rsidR="00591274" w:rsidRPr="00B30B1F" w:rsidRDefault="00591274" w:rsidP="00591274">
      <w:pPr>
        <w:pStyle w:val="NoSpacing"/>
        <w:jc w:val="both"/>
        <w:rPr>
          <w:rFonts w:eastAsia="Times New Roman"/>
          <w:lang w:eastAsia="en-GB"/>
        </w:rPr>
      </w:pPr>
    </w:p>
    <w:p w:rsidR="00591274" w:rsidRPr="0019143F" w:rsidRDefault="00591274" w:rsidP="00591274">
      <w:pPr>
        <w:pStyle w:val="NoSpacing"/>
        <w:jc w:val="both"/>
        <w:rPr>
          <w:rStyle w:val="Heading1Char"/>
          <w:sz w:val="24"/>
          <w:u w:val="single"/>
        </w:rPr>
      </w:pPr>
      <w:bookmarkStart w:id="3" w:name="p3"/>
      <w:r w:rsidRPr="0019143F">
        <w:rPr>
          <w:rStyle w:val="Heading1Char"/>
          <w:sz w:val="24"/>
          <w:u w:val="single"/>
        </w:rPr>
        <w:t>Rationale and Interpretation</w:t>
      </w:r>
      <w:bookmarkEnd w:id="3"/>
    </w:p>
    <w:p w:rsidR="00591274" w:rsidRPr="00B30B1F" w:rsidRDefault="00591274" w:rsidP="00591274">
      <w:pPr>
        <w:pStyle w:val="NoSpacing"/>
        <w:jc w:val="both"/>
      </w:pPr>
    </w:p>
    <w:p w:rsidR="009F448F" w:rsidRDefault="00004053" w:rsidP="00591274">
      <w:pPr>
        <w:pStyle w:val="NoSpacing"/>
        <w:jc w:val="both"/>
      </w:pPr>
      <w:r w:rsidRPr="00004053">
        <w:t>People and businesses need access to financial services that are safe, reliable, and convenient.  The high costs of providing these services, particularly to those living and working in more remote areas or for those whose transaction values are low, have led to limited access.  New technologies and delivery channels are lowering costs and bringing timely and appropriate services to even more people, but require the institutions providing or partnering to provide services to have the capability to design and deliver these services.</w:t>
      </w:r>
    </w:p>
    <w:p w:rsidR="00004053" w:rsidRPr="00B30B1F" w:rsidRDefault="00004053" w:rsidP="00591274">
      <w:pPr>
        <w:pStyle w:val="NoSpacing"/>
        <w:jc w:val="both"/>
        <w:rPr>
          <w:rStyle w:val="Heading1Char"/>
          <w:bCs w:val="0"/>
        </w:rPr>
      </w:pPr>
    </w:p>
    <w:p w:rsidR="00591274" w:rsidRPr="0019143F" w:rsidRDefault="00591274" w:rsidP="00591274">
      <w:pPr>
        <w:pStyle w:val="NoSpacing"/>
        <w:jc w:val="both"/>
        <w:rPr>
          <w:rStyle w:val="Heading1Char"/>
          <w:sz w:val="24"/>
          <w:u w:val="single"/>
        </w:rPr>
      </w:pPr>
      <w:r w:rsidRPr="0019143F">
        <w:rPr>
          <w:rStyle w:val="Heading1Char"/>
          <w:bCs w:val="0"/>
          <w:sz w:val="24"/>
          <w:u w:val="single"/>
        </w:rPr>
        <w:t>Sources and Data Collection</w:t>
      </w:r>
    </w:p>
    <w:p w:rsidR="005B61B7" w:rsidRDefault="005B61B7" w:rsidP="00F3061D">
      <w:pPr>
        <w:pStyle w:val="NoSpacing"/>
        <w:jc w:val="both"/>
      </w:pPr>
    </w:p>
    <w:p w:rsidR="00F3061D" w:rsidRDefault="00F3061D" w:rsidP="00F3061D">
      <w:pPr>
        <w:pStyle w:val="NoSpacing"/>
        <w:jc w:val="both"/>
        <w:rPr>
          <w:rFonts w:eastAsia="Times New Roman"/>
          <w:lang w:eastAsia="en-GB"/>
        </w:rPr>
      </w:pPr>
      <w:r w:rsidRPr="00F3061D">
        <w:rPr>
          <w:rFonts w:eastAsia="Times New Roman"/>
          <w:lang w:eastAsia="en-GB"/>
        </w:rPr>
        <w:t>The IMF Financial Access Survey (FAS) is the most comprehensive global supply-side data on financial inclusion. The FAS database curren</w:t>
      </w:r>
      <w:r w:rsidR="00CC194B">
        <w:rPr>
          <w:rFonts w:eastAsia="Times New Roman"/>
          <w:lang w:eastAsia="en-GB"/>
        </w:rPr>
        <w:t>tly contains annual data for 184</w:t>
      </w:r>
      <w:r w:rsidRPr="00F3061D">
        <w:rPr>
          <w:rFonts w:eastAsia="Times New Roman"/>
          <w:lang w:eastAsia="en-GB"/>
        </w:rPr>
        <w:t xml:space="preserve"> jurisdictions, including all G20 economies, covering a nine-year period (2004-2012). To date, over 94,000 interviews in 126 countries have taken place.</w:t>
      </w:r>
    </w:p>
    <w:p w:rsidR="00F3061D" w:rsidRPr="00F3061D" w:rsidRDefault="00F3061D" w:rsidP="00F3061D">
      <w:pPr>
        <w:pStyle w:val="NoSpacing"/>
        <w:jc w:val="both"/>
        <w:rPr>
          <w:rFonts w:eastAsia="Times New Roman"/>
          <w:lang w:eastAsia="en-GB"/>
        </w:rPr>
      </w:pPr>
    </w:p>
    <w:p w:rsidR="00F3061D" w:rsidRPr="00F3061D" w:rsidRDefault="00F3061D" w:rsidP="00F3061D">
      <w:pPr>
        <w:pStyle w:val="NoSpacing"/>
        <w:jc w:val="both"/>
        <w:rPr>
          <w:rFonts w:eastAsia="Times New Roman"/>
          <w:lang w:eastAsia="en-GB"/>
        </w:rPr>
      </w:pPr>
      <w:r w:rsidRPr="00F3061D">
        <w:rPr>
          <w:rFonts w:eastAsia="Times New Roman"/>
          <w:lang w:eastAsia="en-GB"/>
        </w:rPr>
        <w:t>FAS collects data on access to and usage of financial services from central banks and other financial regulators around the world on an annual basis</w:t>
      </w:r>
      <w:r w:rsidR="008B514E">
        <w:rPr>
          <w:rFonts w:eastAsia="Times New Roman"/>
          <w:lang w:eastAsia="en-GB"/>
        </w:rPr>
        <w:t xml:space="preserve">. The key FAS indicators help: </w:t>
      </w:r>
    </w:p>
    <w:p w:rsidR="00F3061D" w:rsidRPr="00F3061D" w:rsidRDefault="00F3061D" w:rsidP="008B514E">
      <w:pPr>
        <w:pStyle w:val="NoSpacing"/>
        <w:numPr>
          <w:ilvl w:val="0"/>
          <w:numId w:val="2"/>
        </w:numPr>
        <w:jc w:val="both"/>
        <w:rPr>
          <w:rFonts w:eastAsia="Times New Roman"/>
          <w:lang w:eastAsia="en-GB"/>
        </w:rPr>
      </w:pPr>
      <w:r w:rsidRPr="00F3061D">
        <w:rPr>
          <w:rFonts w:eastAsia="Times New Roman"/>
          <w:lang w:eastAsia="en-GB"/>
        </w:rPr>
        <w:t>Identify knowledge gaps and set priorities for policies on broadening f</w:t>
      </w:r>
      <w:r>
        <w:rPr>
          <w:rFonts w:eastAsia="Times New Roman"/>
          <w:lang w:eastAsia="en-GB"/>
        </w:rPr>
        <w:t xml:space="preserve">inancial access; </w:t>
      </w:r>
    </w:p>
    <w:p w:rsidR="00F3061D" w:rsidRPr="00F3061D" w:rsidRDefault="00F3061D" w:rsidP="008B514E">
      <w:pPr>
        <w:pStyle w:val="NoSpacing"/>
        <w:numPr>
          <w:ilvl w:val="0"/>
          <w:numId w:val="2"/>
        </w:numPr>
        <w:jc w:val="both"/>
        <w:rPr>
          <w:rFonts w:eastAsia="Times New Roman"/>
          <w:lang w:eastAsia="en-GB"/>
        </w:rPr>
      </w:pPr>
      <w:r w:rsidRPr="00F3061D">
        <w:rPr>
          <w:rFonts w:eastAsia="Times New Roman"/>
          <w:lang w:eastAsia="en-GB"/>
        </w:rPr>
        <w:t>Monitor the effectivenes</w:t>
      </w:r>
      <w:r>
        <w:rPr>
          <w:rFonts w:eastAsia="Times New Roman"/>
          <w:lang w:eastAsia="en-GB"/>
        </w:rPr>
        <w:t xml:space="preserve">s of these policies over time; </w:t>
      </w:r>
    </w:p>
    <w:p w:rsidR="00F3061D" w:rsidRPr="00F3061D" w:rsidRDefault="00F3061D" w:rsidP="008B514E">
      <w:pPr>
        <w:pStyle w:val="NoSpacing"/>
        <w:numPr>
          <w:ilvl w:val="0"/>
          <w:numId w:val="2"/>
        </w:numPr>
        <w:jc w:val="both"/>
        <w:rPr>
          <w:rFonts w:eastAsia="Times New Roman"/>
          <w:lang w:eastAsia="en-GB"/>
        </w:rPr>
      </w:pPr>
      <w:r w:rsidRPr="00F3061D">
        <w:rPr>
          <w:rFonts w:eastAsia="Times New Roman"/>
          <w:lang w:eastAsia="en-GB"/>
        </w:rPr>
        <w:t>Advance research and analysis to strengthen understanding of the determinants and implications of financial access and usage.</w:t>
      </w:r>
    </w:p>
    <w:p w:rsidR="00591274" w:rsidRDefault="00591274" w:rsidP="00591274">
      <w:pPr>
        <w:pStyle w:val="NoSpacing"/>
        <w:jc w:val="both"/>
        <w:rPr>
          <w:rFonts w:eastAsia="Times New Roman"/>
          <w:lang w:eastAsia="en-GB"/>
        </w:rPr>
      </w:pPr>
    </w:p>
    <w:p w:rsidR="00F3061D" w:rsidRPr="00B30B1F" w:rsidRDefault="00F3061D" w:rsidP="00591274">
      <w:pPr>
        <w:pStyle w:val="NoSpacing"/>
        <w:jc w:val="both"/>
        <w:rPr>
          <w:rFonts w:eastAsia="Times New Roman"/>
          <w:lang w:eastAsia="en-GB"/>
        </w:rPr>
      </w:pPr>
    </w:p>
    <w:p w:rsidR="00591274" w:rsidRPr="0019143F" w:rsidRDefault="00591274" w:rsidP="00591274">
      <w:pPr>
        <w:pStyle w:val="NoSpacing"/>
        <w:jc w:val="both"/>
        <w:rPr>
          <w:rStyle w:val="Heading1Char"/>
          <w:sz w:val="24"/>
          <w:u w:val="single"/>
        </w:rPr>
      </w:pPr>
      <w:bookmarkStart w:id="4" w:name="p5"/>
      <w:r w:rsidRPr="0019143F">
        <w:rPr>
          <w:rStyle w:val="Heading1Char"/>
          <w:sz w:val="24"/>
          <w:u w:val="single"/>
        </w:rPr>
        <w:t xml:space="preserve">Disaggregation </w:t>
      </w:r>
      <w:bookmarkEnd w:id="4"/>
    </w:p>
    <w:p w:rsidR="00591274" w:rsidRPr="00B30B1F" w:rsidRDefault="00591274" w:rsidP="00591274">
      <w:pPr>
        <w:pStyle w:val="NoSpacing"/>
        <w:jc w:val="both"/>
      </w:pPr>
      <w:bookmarkStart w:id="5" w:name="p6"/>
    </w:p>
    <w:p w:rsidR="00591274" w:rsidRPr="00B30B1F" w:rsidRDefault="00591274" w:rsidP="00591274">
      <w:pPr>
        <w:pStyle w:val="NoSpacing"/>
        <w:jc w:val="both"/>
        <w:rPr>
          <w:rStyle w:val="Heading1Char"/>
        </w:rPr>
      </w:pPr>
    </w:p>
    <w:p w:rsidR="00591274" w:rsidRPr="0019143F" w:rsidRDefault="00591274" w:rsidP="00591274">
      <w:pPr>
        <w:pStyle w:val="NoSpacing"/>
        <w:jc w:val="both"/>
        <w:rPr>
          <w:rStyle w:val="Heading1Char"/>
          <w:sz w:val="24"/>
          <w:u w:val="single"/>
        </w:rPr>
      </w:pPr>
      <w:r w:rsidRPr="0019143F">
        <w:rPr>
          <w:rStyle w:val="Heading1Char"/>
          <w:sz w:val="24"/>
          <w:u w:val="single"/>
        </w:rPr>
        <w:t xml:space="preserve">Comments and Limitations </w:t>
      </w:r>
      <w:bookmarkEnd w:id="5"/>
    </w:p>
    <w:p w:rsidR="00FE2396" w:rsidRDefault="00CC194B" w:rsidP="00591274">
      <w:pPr>
        <w:pStyle w:val="NoSpacing"/>
        <w:jc w:val="both"/>
      </w:pPr>
      <w:r>
        <w:t>In the event that</w:t>
      </w:r>
      <w:r w:rsidR="00FE2396">
        <w:t xml:space="preserve"> there are future reviews to reduce the number of global SDG indicators, </w:t>
      </w:r>
      <w:r>
        <w:t xml:space="preserve">this target could relating to the </w:t>
      </w:r>
      <w:r w:rsidR="00E12ABE">
        <w:t xml:space="preserve">capacity of financial institutions </w:t>
      </w:r>
      <w:r>
        <w:t>could be</w:t>
      </w:r>
      <w:r w:rsidR="00E12ABE">
        <w:t xml:space="preserve"> monitor</w:t>
      </w:r>
      <w:r>
        <w:t>ed by  the percen</w:t>
      </w:r>
      <w:r w:rsidR="00E12ABE">
        <w:t>tage of population that have an account. There</w:t>
      </w:r>
      <w:r w:rsidR="00746586">
        <w:t>fore, the following indirectly related indicator can</w:t>
      </w:r>
      <w:r>
        <w:t xml:space="preserve"> </w:t>
      </w:r>
      <w:r w:rsidR="00746586">
        <w:t>be used</w:t>
      </w:r>
      <w:r w:rsidR="00E12ABE">
        <w:t xml:space="preserve"> to </w:t>
      </w:r>
      <w:r w:rsidR="00746586">
        <w:t>monitor Target 8.10</w:t>
      </w:r>
      <w:r w:rsidR="00FE2396">
        <w:t xml:space="preserve">: </w:t>
      </w:r>
    </w:p>
    <w:p w:rsidR="00FE2396" w:rsidRDefault="00FE2396" w:rsidP="00591274">
      <w:pPr>
        <w:pStyle w:val="NoSpacing"/>
        <w:jc w:val="both"/>
      </w:pPr>
    </w:p>
    <w:p w:rsidR="003B516C" w:rsidRDefault="00FE2396" w:rsidP="003B516C">
      <w:pPr>
        <w:pStyle w:val="NoSpacing"/>
        <w:ind w:left="720"/>
        <w:jc w:val="both"/>
      </w:pPr>
      <w:r w:rsidRPr="00FE2396">
        <w:t>Adults owning an account either through a financial institution or mobile money provider, disaggregated by income level, geography location, gender, age and education</w:t>
      </w:r>
      <w:r w:rsidR="00746586">
        <w:t xml:space="preserve"> (Global Findex) </w:t>
      </w:r>
    </w:p>
    <w:p w:rsidR="003B516C" w:rsidRDefault="003B516C" w:rsidP="003B516C">
      <w:pPr>
        <w:pStyle w:val="NoSpacing"/>
        <w:jc w:val="both"/>
      </w:pPr>
    </w:p>
    <w:p w:rsidR="005711E2" w:rsidRDefault="00746586" w:rsidP="00591274">
      <w:pPr>
        <w:pStyle w:val="NoSpacing"/>
        <w:jc w:val="both"/>
      </w:pPr>
      <w:r w:rsidRPr="003B516C">
        <w:t xml:space="preserve">This is a multi-purpose indicator that is relevant to </w:t>
      </w:r>
      <w:r w:rsidR="003B516C" w:rsidRPr="003B516C">
        <w:t xml:space="preserve">Targets 1.4, 2.3, 5.a, 10.2. </w:t>
      </w:r>
      <w:r w:rsidRPr="003B516C">
        <w:t xml:space="preserve"> </w:t>
      </w:r>
      <w:bookmarkStart w:id="6" w:name="p7"/>
    </w:p>
    <w:p w:rsidR="00123BE1" w:rsidRPr="00B30B1F" w:rsidRDefault="00123BE1" w:rsidP="00591274">
      <w:pPr>
        <w:pStyle w:val="NoSpacing"/>
        <w:jc w:val="both"/>
        <w:rPr>
          <w:rStyle w:val="Heading1Char"/>
          <w:bCs w:val="0"/>
        </w:rPr>
      </w:pPr>
    </w:p>
    <w:p w:rsidR="00591274" w:rsidRPr="0019143F" w:rsidRDefault="00591274" w:rsidP="00591274">
      <w:pPr>
        <w:pStyle w:val="NoSpacing"/>
        <w:jc w:val="both"/>
        <w:rPr>
          <w:rStyle w:val="Heading1Char"/>
          <w:sz w:val="24"/>
          <w:u w:val="single"/>
        </w:rPr>
      </w:pPr>
      <w:r w:rsidRPr="0019143F">
        <w:rPr>
          <w:rStyle w:val="Heading1Char"/>
          <w:bCs w:val="0"/>
          <w:sz w:val="24"/>
          <w:u w:val="single"/>
        </w:rPr>
        <w:t xml:space="preserve">Gender Equality Issues </w:t>
      </w:r>
      <w:bookmarkEnd w:id="6"/>
    </w:p>
    <w:p w:rsidR="00591274" w:rsidRPr="00B30B1F" w:rsidRDefault="00591274" w:rsidP="00591274">
      <w:pPr>
        <w:pStyle w:val="NoSpacing"/>
        <w:jc w:val="both"/>
        <w:rPr>
          <w:rFonts w:eastAsia="Times New Roman"/>
          <w:lang w:eastAsia="en-GB"/>
        </w:rPr>
      </w:pPr>
    </w:p>
    <w:p w:rsidR="00591274" w:rsidRPr="0019143F" w:rsidRDefault="00591274" w:rsidP="00591274">
      <w:pPr>
        <w:pStyle w:val="NoSpacing"/>
        <w:jc w:val="both"/>
        <w:rPr>
          <w:rStyle w:val="Heading1Char"/>
          <w:sz w:val="24"/>
          <w:u w:val="single"/>
        </w:rPr>
      </w:pPr>
      <w:bookmarkStart w:id="7" w:name="p8"/>
      <w:r w:rsidRPr="0019143F">
        <w:rPr>
          <w:rStyle w:val="Heading1Char"/>
          <w:sz w:val="24"/>
          <w:u w:val="single"/>
        </w:rPr>
        <w:t xml:space="preserve">Data for Global and Regional Monitoring </w:t>
      </w:r>
      <w:bookmarkEnd w:id="7"/>
    </w:p>
    <w:p w:rsidR="003B4906" w:rsidRPr="00B30B1F" w:rsidRDefault="003B4906" w:rsidP="003B4906">
      <w:pPr>
        <w:pStyle w:val="NoSpacing"/>
        <w:jc w:val="both"/>
        <w:rPr>
          <w:rFonts w:eastAsia="Times New Roman"/>
          <w:lang w:eastAsia="en-GB"/>
        </w:rPr>
      </w:pPr>
      <w:r>
        <w:rPr>
          <w:rFonts w:eastAsia="Times New Roman"/>
          <w:lang w:eastAsia="en-GB"/>
        </w:rPr>
        <w:t xml:space="preserve">The IMF </w:t>
      </w:r>
      <w:r w:rsidRPr="00B30B1F">
        <w:rPr>
          <w:rFonts w:eastAsia="Times New Roman"/>
          <w:lang w:eastAsia="en-GB"/>
        </w:rPr>
        <w:t xml:space="preserve">is responsible for </w:t>
      </w:r>
      <w:r w:rsidR="00CC194B">
        <w:rPr>
          <w:rFonts w:eastAsia="Times New Roman"/>
          <w:lang w:eastAsia="en-GB"/>
        </w:rPr>
        <w:t xml:space="preserve">annually collecting and </w:t>
      </w:r>
      <w:r w:rsidRPr="00B30B1F">
        <w:rPr>
          <w:rFonts w:eastAsia="Times New Roman"/>
          <w:lang w:eastAsia="en-GB"/>
        </w:rPr>
        <w:t>compiling this indicator at the international level</w:t>
      </w:r>
      <w:r>
        <w:rPr>
          <w:rFonts w:eastAsia="Times New Roman"/>
          <w:lang w:eastAsia="en-GB"/>
        </w:rPr>
        <w:t>.</w:t>
      </w:r>
    </w:p>
    <w:p w:rsidR="00591274" w:rsidRPr="00B30B1F" w:rsidRDefault="00591274" w:rsidP="00591274">
      <w:pPr>
        <w:pStyle w:val="NoSpacing"/>
        <w:jc w:val="both"/>
        <w:rPr>
          <w:rFonts w:eastAsia="Times New Roman"/>
          <w:lang w:eastAsia="en-GB"/>
        </w:rPr>
      </w:pPr>
    </w:p>
    <w:p w:rsidR="00591274" w:rsidRPr="0019143F" w:rsidRDefault="00591274" w:rsidP="00591274">
      <w:pPr>
        <w:pStyle w:val="NoSpacing"/>
        <w:jc w:val="both"/>
        <w:rPr>
          <w:rStyle w:val="Heading1Char"/>
          <w:sz w:val="24"/>
          <w:u w:val="single"/>
        </w:rPr>
      </w:pPr>
      <w:r w:rsidRPr="0019143F">
        <w:rPr>
          <w:rStyle w:val="Heading1Char"/>
          <w:sz w:val="24"/>
          <w:u w:val="single"/>
        </w:rPr>
        <w:t>Supplementary Information</w:t>
      </w:r>
    </w:p>
    <w:p w:rsidR="00591274" w:rsidRPr="00B30B1F" w:rsidRDefault="00591274" w:rsidP="00591274">
      <w:pPr>
        <w:pStyle w:val="NoSpacing"/>
        <w:jc w:val="both"/>
        <w:rPr>
          <w:rStyle w:val="Heading1Char"/>
        </w:rPr>
      </w:pPr>
    </w:p>
    <w:p w:rsidR="00591274" w:rsidRPr="0019143F" w:rsidRDefault="00591274" w:rsidP="00591274">
      <w:pPr>
        <w:pStyle w:val="NoSpacing"/>
        <w:jc w:val="both"/>
        <w:rPr>
          <w:rStyle w:val="Heading1Char"/>
          <w:sz w:val="24"/>
          <w:u w:val="single"/>
        </w:rPr>
      </w:pPr>
      <w:r w:rsidRPr="0019143F">
        <w:rPr>
          <w:rStyle w:val="Heading1Char"/>
          <w:sz w:val="24"/>
          <w:u w:val="single"/>
        </w:rPr>
        <w:t>Examples</w:t>
      </w:r>
    </w:p>
    <w:p w:rsidR="00591274" w:rsidRPr="00B30B1F" w:rsidRDefault="00591274" w:rsidP="00591274">
      <w:pPr>
        <w:pStyle w:val="NoSpacing"/>
        <w:jc w:val="both"/>
        <w:rPr>
          <w:rStyle w:val="Heading1Char"/>
        </w:rPr>
      </w:pPr>
    </w:p>
    <w:p w:rsidR="00591274" w:rsidRPr="00B30B1F" w:rsidRDefault="00591274" w:rsidP="00591274">
      <w:pPr>
        <w:pStyle w:val="NoSpacing"/>
        <w:jc w:val="both"/>
        <w:rPr>
          <w:rStyle w:val="Heading1Char"/>
          <w:u w:val="single"/>
        </w:rPr>
      </w:pPr>
      <w:r w:rsidRPr="0019143F">
        <w:rPr>
          <w:rStyle w:val="Heading1Char"/>
          <w:sz w:val="24"/>
          <w:u w:val="single"/>
        </w:rPr>
        <w:t>References</w:t>
      </w:r>
    </w:p>
    <w:p w:rsidR="00591274" w:rsidRDefault="00591274" w:rsidP="009F06D5">
      <w:pPr>
        <w:pStyle w:val="NoSpacing"/>
        <w:jc w:val="both"/>
      </w:pPr>
      <w:r w:rsidRPr="00B30B1F">
        <w:rPr>
          <w:rFonts w:eastAsia="Times New Roman"/>
          <w:lang w:eastAsia="en-GB"/>
        </w:rPr>
        <w:br/>
      </w:r>
      <w:r w:rsidR="009F06D5">
        <w:t>International Monetary Fund</w:t>
      </w:r>
      <w:r w:rsidR="009F06D5" w:rsidRPr="009F06D5">
        <w:t xml:space="preserve">. </w:t>
      </w:r>
      <w:r w:rsidR="009F06D5" w:rsidRPr="009F06D5">
        <w:rPr>
          <w:i/>
        </w:rPr>
        <w:t>Financial Access Survey (FAS).</w:t>
      </w:r>
      <w:r w:rsidR="009F06D5" w:rsidRPr="009F06D5">
        <w:t xml:space="preserve"> Washington, DC. Internet site:</w:t>
      </w:r>
      <w:r w:rsidR="009F06D5">
        <w:t xml:space="preserve"> </w:t>
      </w:r>
      <w:hyperlink r:id="rId6" w:history="1">
        <w:r w:rsidR="00CC194B" w:rsidRPr="00FA493F">
          <w:rPr>
            <w:rStyle w:val="Hyperlink"/>
          </w:rPr>
          <w:t>http://fas.imf.org/Default.aspx</w:t>
        </w:r>
      </w:hyperlink>
      <w:r w:rsidR="00CC194B">
        <w:t xml:space="preserve"> </w:t>
      </w:r>
    </w:p>
    <w:p w:rsidR="00592E1C" w:rsidRDefault="00592E1C" w:rsidP="009F06D5">
      <w:pPr>
        <w:pStyle w:val="NoSpacing"/>
        <w:jc w:val="both"/>
      </w:pPr>
    </w:p>
    <w:p w:rsidR="00592E1C" w:rsidRDefault="007C5C32" w:rsidP="009F06D5">
      <w:pPr>
        <w:pStyle w:val="NoSpacing"/>
        <w:jc w:val="both"/>
      </w:pPr>
      <w:hyperlink r:id="rId7" w:history="1">
        <w:r w:rsidR="00CC194B" w:rsidRPr="00FA493F">
          <w:rPr>
            <w:rStyle w:val="Hyperlink"/>
          </w:rPr>
          <w:t>http://fas.imf.org/misc/Explanatory_Notes.pdf</w:t>
        </w:r>
      </w:hyperlink>
      <w:r w:rsidR="00CC194B">
        <w:t xml:space="preserve"> </w:t>
      </w:r>
    </w:p>
    <w:p w:rsidR="00592E1C" w:rsidRDefault="00592E1C" w:rsidP="009F06D5">
      <w:pPr>
        <w:pStyle w:val="NoSpacing"/>
        <w:jc w:val="both"/>
      </w:pPr>
    </w:p>
    <w:sectPr w:rsidR="00592E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6187B"/>
    <w:multiLevelType w:val="hybridMultilevel"/>
    <w:tmpl w:val="6728DE18"/>
    <w:lvl w:ilvl="0" w:tplc="76AC3BE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E43450D"/>
    <w:multiLevelType w:val="hybridMultilevel"/>
    <w:tmpl w:val="A2201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274"/>
    <w:rsid w:val="00004053"/>
    <w:rsid w:val="00123BE1"/>
    <w:rsid w:val="0019143F"/>
    <w:rsid w:val="00273FED"/>
    <w:rsid w:val="0027734D"/>
    <w:rsid w:val="003022FA"/>
    <w:rsid w:val="003B4906"/>
    <w:rsid w:val="003B516C"/>
    <w:rsid w:val="00452809"/>
    <w:rsid w:val="004F4A77"/>
    <w:rsid w:val="00540C14"/>
    <w:rsid w:val="005711E2"/>
    <w:rsid w:val="00591274"/>
    <w:rsid w:val="00592E1C"/>
    <w:rsid w:val="005B61B7"/>
    <w:rsid w:val="00746586"/>
    <w:rsid w:val="007C5C32"/>
    <w:rsid w:val="008B514E"/>
    <w:rsid w:val="008F0481"/>
    <w:rsid w:val="00930A07"/>
    <w:rsid w:val="0098364B"/>
    <w:rsid w:val="009B0CA4"/>
    <w:rsid w:val="009F06D5"/>
    <w:rsid w:val="009F448F"/>
    <w:rsid w:val="00A96668"/>
    <w:rsid w:val="00C21E76"/>
    <w:rsid w:val="00C51A7E"/>
    <w:rsid w:val="00CC194B"/>
    <w:rsid w:val="00E12ABE"/>
    <w:rsid w:val="00F3061D"/>
    <w:rsid w:val="00F83107"/>
    <w:rsid w:val="00FC1256"/>
    <w:rsid w:val="00FE2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1274"/>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274"/>
    <w:rPr>
      <w:rFonts w:ascii="Cambria" w:eastAsia="SimSun" w:hAnsi="Cambria" w:cs="Times New Roman"/>
      <w:b/>
      <w:bCs/>
      <w:color w:val="365F91"/>
      <w:sz w:val="28"/>
      <w:szCs w:val="28"/>
      <w:lang w:val="en-GB" w:eastAsia="ja-JP"/>
    </w:rPr>
  </w:style>
  <w:style w:type="character" w:styleId="Hyperlink">
    <w:name w:val="Hyperlink"/>
    <w:unhideWhenUsed/>
    <w:rsid w:val="00591274"/>
    <w:rPr>
      <w:color w:val="0000FF"/>
      <w:u w:val="single"/>
    </w:rPr>
  </w:style>
  <w:style w:type="paragraph" w:styleId="NoSpacing">
    <w:name w:val="No Spacing"/>
    <w:uiPriority w:val="1"/>
    <w:qFormat/>
    <w:rsid w:val="00591274"/>
    <w:pPr>
      <w:spacing w:after="0" w:line="240" w:lineRule="auto"/>
    </w:pPr>
    <w:rPr>
      <w:rFonts w:ascii="Calibri" w:eastAsia="Calibri" w:hAnsi="Calibri" w:cs="Times New Roman"/>
      <w:lang w:val="en-GB"/>
    </w:rPr>
  </w:style>
  <w:style w:type="character" w:styleId="FollowedHyperlink">
    <w:name w:val="FollowedHyperlink"/>
    <w:basedOn w:val="DefaultParagraphFont"/>
    <w:uiPriority w:val="99"/>
    <w:semiHidden/>
    <w:unhideWhenUsed/>
    <w:rsid w:val="00CC194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1274"/>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274"/>
    <w:rPr>
      <w:rFonts w:ascii="Cambria" w:eastAsia="SimSun" w:hAnsi="Cambria" w:cs="Times New Roman"/>
      <w:b/>
      <w:bCs/>
      <w:color w:val="365F91"/>
      <w:sz w:val="28"/>
      <w:szCs w:val="28"/>
      <w:lang w:val="en-GB" w:eastAsia="ja-JP"/>
    </w:rPr>
  </w:style>
  <w:style w:type="character" w:styleId="Hyperlink">
    <w:name w:val="Hyperlink"/>
    <w:unhideWhenUsed/>
    <w:rsid w:val="00591274"/>
    <w:rPr>
      <w:color w:val="0000FF"/>
      <w:u w:val="single"/>
    </w:rPr>
  </w:style>
  <w:style w:type="paragraph" w:styleId="NoSpacing">
    <w:name w:val="No Spacing"/>
    <w:uiPriority w:val="1"/>
    <w:qFormat/>
    <w:rsid w:val="00591274"/>
    <w:pPr>
      <w:spacing w:after="0" w:line="240" w:lineRule="auto"/>
    </w:pPr>
    <w:rPr>
      <w:rFonts w:ascii="Calibri" w:eastAsia="Calibri" w:hAnsi="Calibri" w:cs="Times New Roman"/>
      <w:lang w:val="en-GB"/>
    </w:rPr>
  </w:style>
  <w:style w:type="character" w:styleId="FollowedHyperlink">
    <w:name w:val="FollowedHyperlink"/>
    <w:basedOn w:val="DefaultParagraphFont"/>
    <w:uiPriority w:val="99"/>
    <w:semiHidden/>
    <w:unhideWhenUsed/>
    <w:rsid w:val="00CC194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fas.imf.org/misc/Explanatory_Note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as.imf.org/Default.aspx"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Darah Aljoudar</dc:creator>
  <cp:lastModifiedBy>Benjamin Rae</cp:lastModifiedBy>
  <cp:revision>2</cp:revision>
  <dcterms:created xsi:type="dcterms:W3CDTF">2015-05-18T16:32:00Z</dcterms:created>
  <dcterms:modified xsi:type="dcterms:W3CDTF">2015-05-18T16:32:00Z</dcterms:modified>
</cp:coreProperties>
</file>